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78" w:type="dxa"/>
        <w:tblInd w:w="-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2"/>
        <w:gridCol w:w="14129"/>
      </w:tblGrid>
      <w:tr w:rsidR="002044F6" w:rsidRPr="001A5178" w14:paraId="7FBE39CE" w14:textId="77777777" w:rsidTr="003744D0">
        <w:trPr>
          <w:trHeight w:val="1897"/>
        </w:trPr>
        <w:tc>
          <w:tcPr>
            <w:tcW w:w="15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B09D" w14:textId="12FC8CD5" w:rsidR="002044F6" w:rsidRPr="001F4218" w:rsidRDefault="002044F6" w:rsidP="002044F6">
            <w:pPr>
              <w:spacing w:after="120"/>
              <w:jc w:val="center"/>
              <w:rPr>
                <w:rFonts w:ascii="Arial Black" w:eastAsia="Arial Unicode MS" w:hAnsi="Arial Black" w:cs="Arial"/>
                <w:color w:val="000000"/>
                <w:sz w:val="16"/>
                <w:szCs w:val="16"/>
                <w:bdr w:val="nil"/>
                <w:lang w:val="en-US" w:eastAsia="zh-CN"/>
              </w:rPr>
            </w:pPr>
            <w:r w:rsidRPr="0003680C">
              <w:rPr>
                <w:rFonts w:ascii="Arial Black" w:eastAsia="Arial Unicode MS" w:hAnsi="Arial Black" w:cs="Arial"/>
                <w:b/>
                <w:i/>
                <w:iCs/>
                <w:color w:val="000000"/>
                <w:sz w:val="24"/>
                <w:szCs w:val="24"/>
                <w:u w:color="000000"/>
                <w:bdr w:val="nil"/>
                <w:lang w:val="en-US" w:eastAsia="zh-CN"/>
              </w:rPr>
              <w:t>Woodturners Society of Queensland Inc.</w:t>
            </w:r>
            <w:r w:rsidRPr="0003680C">
              <w:rPr>
                <w:rFonts w:ascii="Arial Black" w:eastAsia="Arial Unicode MS" w:hAnsi="Arial Black" w:cs="Arial"/>
                <w:color w:val="000000"/>
                <w:sz w:val="24"/>
                <w:szCs w:val="24"/>
                <w:u w:color="000000"/>
                <w:bdr w:val="nil"/>
                <w:lang w:val="en-US" w:eastAsia="zh-CN"/>
              </w:rPr>
              <w:t xml:space="preserve">  </w:t>
            </w:r>
            <w:r w:rsidR="008E2D32" w:rsidRPr="0003680C">
              <w:rPr>
                <w:rFonts w:ascii="Arial Black" w:eastAsia="Arial Unicode MS" w:hAnsi="Arial Black" w:cs="Arial"/>
                <w:color w:val="000000"/>
                <w:sz w:val="24"/>
                <w:szCs w:val="24"/>
                <w:u w:color="000000"/>
                <w:bdr w:val="nil"/>
                <w:lang w:val="en-US" w:eastAsia="zh-CN"/>
              </w:rPr>
              <w:t xml:space="preserve">  </w:t>
            </w:r>
            <w:r w:rsidRPr="0003680C">
              <w:rPr>
                <w:rFonts w:ascii="Arial Black" w:eastAsia="Arial Unicode MS" w:hAnsi="Arial Black" w:cs="Arial"/>
                <w:color w:val="000000"/>
                <w:sz w:val="24"/>
                <w:szCs w:val="24"/>
                <w:u w:color="000000"/>
                <w:bdr w:val="nil"/>
                <w:lang w:val="en-US" w:eastAsia="zh-CN"/>
              </w:rPr>
              <w:t xml:space="preserve">  </w:t>
            </w:r>
            <w:r w:rsidR="008E2D32" w:rsidRPr="0003680C">
              <w:rPr>
                <w:rFonts w:ascii="Arial Black" w:eastAsia="Arial Unicode MS" w:hAnsi="Arial Black" w:cs="Arial"/>
                <w:color w:val="000000"/>
                <w:sz w:val="24"/>
                <w:szCs w:val="24"/>
                <w:u w:color="000000"/>
                <w:bdr w:val="nil"/>
                <w:lang w:val="en-US" w:eastAsia="zh-CN"/>
              </w:rPr>
              <w:t xml:space="preserve">   </w:t>
            </w:r>
            <w:r w:rsidRPr="0003680C">
              <w:rPr>
                <w:rFonts w:ascii="Arial Black" w:eastAsia="Arial Unicode MS" w:hAnsi="Arial Black" w:cs="Arial"/>
                <w:color w:val="000000"/>
                <w:sz w:val="24"/>
                <w:szCs w:val="24"/>
                <w:u w:color="000000"/>
                <w:bdr w:val="nil"/>
                <w:lang w:val="en-US" w:eastAsia="zh-CN"/>
              </w:rPr>
              <w:t xml:space="preserve">  </w:t>
            </w:r>
            <w:r w:rsidR="008E2D32" w:rsidRPr="0003680C">
              <w:rPr>
                <w:rFonts w:ascii="Arial Black" w:eastAsia="Arial Unicode MS" w:hAnsi="Arial Black" w:cs="Arial"/>
                <w:color w:val="000000"/>
                <w:sz w:val="24"/>
                <w:szCs w:val="24"/>
                <w:u w:color="000000"/>
                <w:bdr w:val="nil"/>
                <w:lang w:val="en-US" w:eastAsia="zh-CN"/>
              </w:rPr>
              <w:t xml:space="preserve">  </w:t>
            </w:r>
            <w:r w:rsidR="008E2D32" w:rsidRPr="00EF7E49">
              <w:rPr>
                <w:rFonts w:ascii="Arial Black" w:eastAsia="Arial Unicode MS" w:hAnsi="Arial Black" w:cs="Arial"/>
                <w:b/>
                <w:i/>
                <w:color w:val="000000"/>
                <w:sz w:val="24"/>
                <w:szCs w:val="24"/>
                <w:bdr w:val="nil"/>
                <w:lang w:val="en-US" w:eastAsia="zh-CN"/>
              </w:rPr>
              <w:t>202</w:t>
            </w:r>
            <w:r w:rsidR="001F4218">
              <w:rPr>
                <w:rFonts w:ascii="Arial Black" w:eastAsia="Arial Unicode MS" w:hAnsi="Arial Black" w:cs="Arial"/>
                <w:b/>
                <w:i/>
                <w:color w:val="000000"/>
                <w:sz w:val="24"/>
                <w:szCs w:val="24"/>
                <w:bdr w:val="nil"/>
                <w:lang w:val="en-US" w:eastAsia="zh-CN"/>
              </w:rPr>
              <w:t>2</w:t>
            </w:r>
            <w:r w:rsidR="008E2D32" w:rsidRPr="00EF7E49">
              <w:rPr>
                <w:rFonts w:ascii="Arial Black" w:eastAsia="Arial Unicode MS" w:hAnsi="Arial Black" w:cs="Arial"/>
                <w:b/>
                <w:i/>
                <w:color w:val="000000"/>
                <w:sz w:val="24"/>
                <w:szCs w:val="24"/>
                <w:bdr w:val="nil"/>
                <w:lang w:val="en-US" w:eastAsia="zh-CN"/>
              </w:rPr>
              <w:t xml:space="preserve"> </w:t>
            </w:r>
            <w:r w:rsidRPr="00EF7E49">
              <w:rPr>
                <w:rFonts w:ascii="Arial Black" w:eastAsia="Arial Unicode MS" w:hAnsi="Arial Black" w:cs="Arial"/>
                <w:i/>
                <w:iCs/>
                <w:color w:val="000000"/>
                <w:sz w:val="24"/>
                <w:szCs w:val="24"/>
                <w:bdr w:val="nil"/>
                <w:lang w:val="en-US" w:eastAsia="zh-CN"/>
              </w:rPr>
              <w:t xml:space="preserve">Competition Entry Form </w:t>
            </w:r>
            <w:r w:rsidR="00EF7E49" w:rsidRPr="00EF7E49">
              <w:rPr>
                <w:rFonts w:ascii="Arial Black" w:eastAsia="Arial Unicode MS" w:hAnsi="Arial Black" w:cs="Arial"/>
                <w:i/>
                <w:iCs/>
                <w:color w:val="000000"/>
                <w:sz w:val="24"/>
                <w:szCs w:val="24"/>
                <w:bdr w:val="nil"/>
                <w:lang w:val="en-US" w:eastAsia="zh-CN"/>
              </w:rPr>
              <w:t xml:space="preserve">              </w:t>
            </w:r>
            <w:r w:rsidR="001F4218" w:rsidRPr="00A73D0C">
              <w:rPr>
                <w:rFonts w:ascii="Arial Black" w:eastAsia="Arial Unicode MS" w:hAnsi="Arial Black" w:cs="Arial"/>
                <w:color w:val="000000"/>
                <w:sz w:val="48"/>
                <w:szCs w:val="48"/>
                <w:bdr w:val="nil"/>
                <w:lang w:val="en-US" w:eastAsia="zh-CN"/>
              </w:rPr>
              <w:t>DRAFT</w:t>
            </w:r>
          </w:p>
          <w:p w14:paraId="20A14FFD" w14:textId="286F101C" w:rsidR="002044F6" w:rsidRPr="0003680C" w:rsidRDefault="002044F6" w:rsidP="002044F6">
            <w:pPr>
              <w:spacing w:after="120"/>
              <w:ind w:left="284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</w:pP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  <w:t>Surname</w:t>
            </w:r>
            <w:r w:rsidR="008E2D32"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  <w:t>:</w:t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  <w:t xml:space="preserve"> </w:t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  <w:tab/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  <w:tab/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  <w:tab/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  <w:tab/>
              <w:t>Given Name</w:t>
            </w:r>
            <w:r w:rsidR="008E2D32"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  <w:t>:</w:t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de-DE" w:eastAsia="zh-CN"/>
              </w:rPr>
              <w:tab/>
            </w:r>
          </w:p>
          <w:p w14:paraId="67864EBC" w14:textId="2128BC8C" w:rsidR="002044F6" w:rsidRPr="007F517D" w:rsidRDefault="002044F6" w:rsidP="002044F6">
            <w:pPr>
              <w:spacing w:after="120"/>
              <w:ind w:left="284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Membership Number</w:t>
            </w:r>
            <w:r w:rsidR="008E2D32"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:</w:t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ab/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ab/>
              <w:t>Total number of items entered</w:t>
            </w:r>
            <w:r w:rsidR="008E2D32"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:</w:t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Pr="0003680C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ab/>
            </w:r>
          </w:p>
          <w:p w14:paraId="619119B0" w14:textId="5A314A8B" w:rsidR="002044F6" w:rsidRDefault="002044F6" w:rsidP="00C7001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</w:pPr>
            <w:r w:rsidRPr="0003680C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Entry forms are to be returned to the Competition Sub-Committee </w:t>
            </w:r>
            <w:r w:rsidRPr="007F517D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  <w:t xml:space="preserve">by </w:t>
            </w:r>
            <w:r w:rsidR="00C70014" w:rsidRPr="007F517D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  <w:t xml:space="preserve">Tuesday </w:t>
            </w:r>
            <w:r w:rsidR="00A73D0C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  <w:t>5</w:t>
            </w:r>
            <w:r w:rsidR="00A73D0C" w:rsidRPr="00A73D0C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vertAlign w:val="superscript"/>
                <w:lang w:val="en-US" w:eastAsia="zh-CN"/>
              </w:rPr>
              <w:t>th</w:t>
            </w:r>
            <w:r w:rsidR="00A73D0C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  <w:t xml:space="preserve"> July</w:t>
            </w:r>
            <w:r w:rsidR="00C70014" w:rsidRPr="007F517D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  <w:t>.</w:t>
            </w:r>
          </w:p>
          <w:p w14:paraId="74795114" w14:textId="77777777" w:rsidR="004E6635" w:rsidRPr="00762BB1" w:rsidRDefault="004E6635" w:rsidP="004E6635">
            <w:pPr>
              <w:spacing w:after="0" w:line="240" w:lineRule="auto"/>
              <w:ind w:left="289"/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</w:pPr>
          </w:p>
          <w:p w14:paraId="6D286426" w14:textId="6BF5CDAF" w:rsidR="004E6635" w:rsidRPr="00762BB1" w:rsidRDefault="004E6635" w:rsidP="004E6635">
            <w:pPr>
              <w:spacing w:after="0" w:line="240" w:lineRule="auto"/>
              <w:ind w:left="289"/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</w:pPr>
            <w:r w:rsidRPr="00762BB1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>Important Notes:</w:t>
            </w:r>
          </w:p>
          <w:p w14:paraId="4FE0A630" w14:textId="77777777" w:rsidR="004E6635" w:rsidRPr="00762BB1" w:rsidRDefault="004E6635" w:rsidP="004E6635">
            <w:pPr>
              <w:spacing w:after="0" w:line="240" w:lineRule="auto"/>
              <w:ind w:left="289"/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</w:pPr>
          </w:p>
          <w:p w14:paraId="785463C3" w14:textId="33472ED7" w:rsidR="004E6635" w:rsidRPr="00762BB1" w:rsidRDefault="004E6635" w:rsidP="004E6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</w:pPr>
            <w:r w:rsidRPr="00762BB1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>* Entries in all categories except Category H, must be made predominantly from wood.</w:t>
            </w:r>
          </w:p>
          <w:p w14:paraId="4CDCBBBB" w14:textId="7D0373D8" w:rsidR="004E6635" w:rsidRPr="005C3672" w:rsidRDefault="008E0C84" w:rsidP="004E6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</w:pPr>
            <w:r w:rsidRPr="005C3672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>Items that are</w:t>
            </w:r>
            <w:r w:rsidR="005C3672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 xml:space="preserve"> </w:t>
            </w:r>
            <w:r w:rsidR="00EF7E49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  <w:t>highly s</w:t>
            </w:r>
            <w:r w:rsidR="004E6635" w:rsidRPr="005C3672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u w:val="single"/>
                <w:bdr w:val="nil"/>
                <w:lang w:val="en-US" w:eastAsia="zh-CN"/>
              </w:rPr>
              <w:t>egmented pieces must be entered in Category I only.</w:t>
            </w:r>
          </w:p>
          <w:p w14:paraId="6D6074D5" w14:textId="728F7667" w:rsidR="00762BB1" w:rsidRPr="00762BB1" w:rsidRDefault="00762BB1" w:rsidP="004E6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</w:pPr>
            <w:r w:rsidRPr="00762BB1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 xml:space="preserve">In submitting an </w:t>
            </w:r>
            <w:proofErr w:type="gramStart"/>
            <w:r w:rsidRPr="00762BB1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>entry</w:t>
            </w:r>
            <w:proofErr w:type="gramEnd"/>
            <w:r w:rsidRPr="00762BB1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 xml:space="preserve"> the member acknowledges and accepts the Rules and Conditions for the 202</w:t>
            </w:r>
            <w:r w:rsidR="007A6704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>2</w:t>
            </w:r>
            <w:r w:rsidRPr="00762BB1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 xml:space="preserve"> WSQ Competition. </w:t>
            </w:r>
          </w:p>
          <w:p w14:paraId="53C7952D" w14:textId="77777777" w:rsidR="004E6635" w:rsidRDefault="00762BB1" w:rsidP="00762B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</w:pPr>
            <w:r w:rsidRPr="00762BB1"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  <w:t xml:space="preserve">The Competition Sub-Committee’s decision as to the appropriate category for an entry shall be final. </w:t>
            </w:r>
          </w:p>
          <w:p w14:paraId="59251C5E" w14:textId="271B0CD2" w:rsidR="00762BB1" w:rsidRPr="00762BB1" w:rsidRDefault="00762BB1" w:rsidP="00762BB1">
            <w:pPr>
              <w:pStyle w:val="ListParagraph"/>
              <w:spacing w:after="0" w:line="240" w:lineRule="auto"/>
              <w:ind w:left="649"/>
              <w:rPr>
                <w:rFonts w:ascii="Arial" w:eastAsia="Arial Unicode MS" w:hAnsi="Arial" w:cs="Arial"/>
                <w:b/>
                <w:i/>
                <w:iCs/>
                <w:color w:val="000000"/>
                <w:sz w:val="20"/>
                <w:szCs w:val="20"/>
                <w:bdr w:val="nil"/>
                <w:lang w:val="en-US" w:eastAsia="zh-CN"/>
              </w:rPr>
            </w:pPr>
          </w:p>
        </w:tc>
      </w:tr>
      <w:tr w:rsidR="00B65E37" w:rsidRPr="001A5178" w14:paraId="08B0DA0A" w14:textId="77777777" w:rsidTr="003744D0">
        <w:trPr>
          <w:trHeight w:val="628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A876" w14:textId="77777777" w:rsidR="00B65E37" w:rsidRPr="0003680C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val="single"/>
                <w:bdr w:val="nil"/>
                <w:lang w:val="en-US" w:eastAsia="zh-CN"/>
              </w:rPr>
            </w:pPr>
            <w:r w:rsidRPr="0003680C">
              <w:rPr>
                <w:rFonts w:ascii="Arial" w:eastAsia="Arial Unicode MS" w:hAnsi="Arial" w:cs="Arial"/>
                <w:color w:val="000000"/>
                <w:sz w:val="28"/>
                <w:szCs w:val="28"/>
                <w:u w:val="single"/>
                <w:bdr w:val="nil"/>
                <w:lang w:val="en-US" w:eastAsia="zh-CN"/>
              </w:rPr>
              <w:t>Category</w:t>
            </w:r>
          </w:p>
        </w:tc>
        <w:tc>
          <w:tcPr>
            <w:tcW w:w="1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76A2" w14:textId="77777777" w:rsidR="00B65E37" w:rsidRPr="0003680C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8"/>
                <w:szCs w:val="28"/>
                <w:u w:val="single"/>
                <w:bdr w:val="nil"/>
                <w:lang w:val="en-US" w:eastAsia="zh-CN"/>
              </w:rPr>
            </w:pPr>
            <w:r w:rsidRPr="0003680C">
              <w:rPr>
                <w:rFonts w:ascii="Arial" w:eastAsia="Arial Unicode MS" w:hAnsi="Arial" w:cs="Arial"/>
                <w:color w:val="000000"/>
                <w:sz w:val="28"/>
                <w:szCs w:val="28"/>
                <w:u w:val="single"/>
                <w:bdr w:val="nil"/>
                <w:lang w:val="en-US" w:eastAsia="zh-CN"/>
              </w:rPr>
              <w:t>Description of Entries</w:t>
            </w:r>
          </w:p>
          <w:p w14:paraId="60FDEE6E" w14:textId="17B9BCB9" w:rsidR="00B65E37" w:rsidRPr="00D42A7E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D42A7E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Include wood, dimensions, finish, other material used</w:t>
            </w:r>
            <w:r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Pr="00D42A7E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and any other relevant information</w:t>
            </w:r>
            <w:r w:rsidRPr="00D42A7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  <w:r w:rsidR="00C70014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 </w:t>
            </w:r>
            <w:r w:rsidR="00C70014" w:rsidRPr="00C70014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You may include a photograph of your piece/s.</w:t>
            </w:r>
          </w:p>
        </w:tc>
      </w:tr>
      <w:tr w:rsidR="00B65E37" w:rsidRPr="001A5178" w14:paraId="2973E522" w14:textId="77777777" w:rsidTr="003744D0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7094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A</w:t>
            </w: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810F" w14:textId="1C6ADC46" w:rsidR="00B65E37" w:rsidRPr="000B458B" w:rsidRDefault="00B65E37" w:rsidP="00EF7E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Turned Bowl – 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Large (Greater than 200mm</w:t>
            </w:r>
            <w:r w:rsidR="00EF7E4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diameter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). Opening must be greater than 50% of </w:t>
            </w:r>
            <w:r w:rsidR="00762BB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maximum 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diameter and overa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ll height must be less than maximum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diameter.</w:t>
            </w:r>
            <w:r w:rsidR="000C76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E6451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Laminated material</w:t>
            </w:r>
            <w:r w:rsidR="00EF7E4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may be used.  Open and Closed </w:t>
            </w:r>
            <w:r w:rsidR="007A178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Segmenting</w:t>
            </w:r>
            <w:r w:rsidR="00EF7E4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sections must not exceed 20%. (See Note 2 above).</w:t>
            </w:r>
            <w:r w:rsidR="00E6451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762BB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F31CB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762BB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F31CB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means</w:t>
            </w:r>
            <w:r w:rsidR="00762BB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F31CB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</w:t>
            </w:r>
            <w:r w:rsidR="009E65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aspect</w:t>
            </w:r>
            <w:r w:rsidR="00F31CB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will be considered as part of the</w:t>
            </w:r>
            <w:r w:rsidR="009E65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Design </w:t>
            </w:r>
            <w:r w:rsidR="00F31CB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criteria</w:t>
            </w:r>
            <w:r w:rsidR="009E65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/ Centre of Interest</w:t>
            </w:r>
            <w:r w:rsidR="00EF7E4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for judging</w:t>
            </w:r>
            <w:r w:rsidR="009E659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B65E37" w:rsidRPr="001A5178" w14:paraId="41951C9D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042B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ED604" w14:textId="77777777" w:rsidR="00B65E37" w:rsidRPr="005A60D0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</w:p>
        </w:tc>
      </w:tr>
      <w:tr w:rsidR="00B65E37" w:rsidRPr="001A5178" w14:paraId="4324521A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77F9D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75F0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B65E37" w:rsidRPr="001A5178" w14:paraId="79099DF0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8815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8943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B65E37" w:rsidRPr="001A5178" w14:paraId="69BC7B15" w14:textId="77777777" w:rsidTr="003744D0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EEC9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B</w:t>
            </w: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4C65" w14:textId="23D288DD" w:rsidR="00B65E37" w:rsidRPr="000B458B" w:rsidRDefault="00B65E37" w:rsidP="00542A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Turned Bowl – 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Small (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up to 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200mm</w:t>
            </w:r>
            <w:r w:rsidR="00EF7E4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diameter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  Opening must be greater than 50% of</w:t>
            </w:r>
            <w:r w:rsidR="00EF7E4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maximum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diameter and overall height must be less than maximum diameter.</w:t>
            </w:r>
            <w:r w:rsidR="003A6C7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7A178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Laminated material</w:t>
            </w:r>
            <w:r w:rsidR="00542A9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may be used.  Open and Closed </w:t>
            </w:r>
            <w:r w:rsidR="007A178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Segmenting </w:t>
            </w:r>
            <w:r w:rsidR="00542A9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sections must not exceed 20%. (See Note 2 above).  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5C367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means</w:t>
            </w:r>
            <w:r w:rsidR="005C367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</w:t>
            </w:r>
            <w:r w:rsidR="00166FF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spect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will be considered as part of the </w:t>
            </w:r>
            <w:r w:rsidR="00166FF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Design criteria / Centre of Interest</w:t>
            </w:r>
            <w:r w:rsidR="00542A9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for judging</w:t>
            </w:r>
            <w:r w:rsidR="00166FF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B65E37" w:rsidRPr="001A5178" w14:paraId="61BECC7F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C966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4DCF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B65E37" w:rsidRPr="001A5178" w14:paraId="640504A4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1D38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DB91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B65E37" w:rsidRPr="001A5178" w14:paraId="7500F9A3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05E9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7890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B65E37" w:rsidRPr="001A5178" w14:paraId="2B5DF0CF" w14:textId="77777777" w:rsidTr="003744D0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CD70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C</w:t>
            </w:r>
          </w:p>
          <w:p w14:paraId="5F5718D4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0605F" w14:textId="3B715DE1" w:rsidR="00B65E37" w:rsidRPr="000B458B" w:rsidRDefault="00B65E37" w:rsidP="00542A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Turned </w:t>
            </w: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Platter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or Plate</w:t>
            </w: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–</w:t>
            </w:r>
            <w:r w:rsidR="008E0C8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DE3A06" w:rsidRP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Diameter </w:t>
            </w:r>
            <w:r w:rsid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of a </w:t>
            </w:r>
            <w:r w:rsidR="00542A9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P</w:t>
            </w:r>
            <w:r w:rsid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latter </w:t>
            </w:r>
            <w:r w:rsidR="00DE3A06" w:rsidRP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must exceed </w:t>
            </w:r>
            <w:r w:rsidR="00542A9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="001F4644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00</w:t>
            </w:r>
            <w:r w:rsidR="00DE3A06" w:rsidRP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mm</w:t>
            </w:r>
            <w:r w:rsidR="00DE3A0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542A9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and a P</w:t>
            </w:r>
            <w:r w:rsidR="00542A91" w:rsidRPr="00542A9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late</w:t>
            </w:r>
            <w:r w:rsidR="00542A9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must </w:t>
            </w:r>
            <w:r w:rsidR="00542A91" w:rsidRPr="001F421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not </w:t>
            </w:r>
            <w:r w:rsidR="00542A9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exceed </w:t>
            </w:r>
            <w:r w:rsidR="001F421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300</w:t>
            </w:r>
            <w:r w:rsidR="00542A9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mm, </w:t>
            </w:r>
            <w:r w:rsidR="00DE3A06" w:rsidRPr="00542A9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and</w:t>
            </w:r>
            <w:r w:rsidR="00DE3A06" w:rsidRPr="00DE3A0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h</w:t>
            </w:r>
            <w:r w:rsidRPr="00DE3A0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eight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must 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not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be 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more than 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5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% of the maximum diameter.</w:t>
            </w:r>
            <w:r w:rsidR="00DE3A0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7A178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Laminated material </w:t>
            </w:r>
            <w:r w:rsidR="00542A9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may be used. </w:t>
            </w:r>
            <w:r w:rsidR="00A01A9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9A5A5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Open and Closed Segment</w:t>
            </w:r>
            <w:r w:rsidR="001F421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ing</w:t>
            </w:r>
            <w:r w:rsidR="009A5A5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sections must not exceed 20%. (See Note 2 above).  </w:t>
            </w:r>
            <w:r w:rsidR="007A178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5C367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means</w:t>
            </w:r>
            <w:r w:rsidR="005C367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area will be considered as part of the </w:t>
            </w:r>
            <w:r w:rsidR="00967A60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Design criteria / Centre of Interest</w:t>
            </w:r>
            <w:r w:rsidR="00542A9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for judging</w:t>
            </w:r>
            <w:r w:rsidR="001F421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purposes.</w:t>
            </w:r>
          </w:p>
        </w:tc>
      </w:tr>
      <w:tr w:rsidR="00B65E37" w:rsidRPr="001A5178" w14:paraId="67982C5A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F5F0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CFA0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B65E37" w:rsidRPr="001A5178" w14:paraId="3D787F63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6305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86FD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B65E37" w:rsidRPr="001A5178" w14:paraId="3BE67941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CCE2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E4BA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B65E37" w:rsidRPr="001A5178" w14:paraId="0D10B22A" w14:textId="77777777" w:rsidTr="003744D0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899C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D</w:t>
            </w:r>
          </w:p>
          <w:p w14:paraId="4299D4BA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C01C" w14:textId="60859FF0" w:rsidR="00B65E37" w:rsidRPr="000B458B" w:rsidRDefault="00B65E37" w:rsidP="00A01A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Turned</w:t>
            </w:r>
            <w:r w:rsidRPr="00890F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Vase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– </w:t>
            </w:r>
            <w:r w:rsidR="00A01A9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Vase: </w:t>
            </w:r>
            <w:r w:rsidRPr="00024CF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Height must be more than the maximum diameter</w:t>
            </w:r>
            <w:r w:rsid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. </w:t>
            </w:r>
            <w:r w:rsidR="007A178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Laminated material</w:t>
            </w:r>
            <w:r w:rsidR="00A01A9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may be used.  Open and Closed </w:t>
            </w:r>
            <w:r w:rsidR="007A178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Segmenting </w:t>
            </w:r>
            <w:r w:rsidR="00A01A9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sections must not exceed 20%. (See Note 2 above).  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means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</w:t>
            </w:r>
            <w:r w:rsidR="00CE4D8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spect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will be considered as part of the </w:t>
            </w:r>
            <w:r w:rsidR="00CE4D8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Design criteria / Centre of Interest</w:t>
            </w:r>
            <w:r w:rsidR="00A01A9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for judging</w:t>
            </w:r>
            <w:r w:rsidR="00CE4D8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B65E37" w:rsidRPr="001A5178" w14:paraId="0F8479B5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AD61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3DF4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B65E37" w:rsidRPr="001A5178" w14:paraId="1AD16F41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D3D7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DD10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B65E37" w:rsidRPr="001A5178" w14:paraId="269E2A47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CC2E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EA0F" w14:textId="77777777" w:rsidR="00B65E37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DE3A06" w:rsidRPr="001A5178" w14:paraId="36047D2F" w14:textId="77777777" w:rsidTr="003744D0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6B3D" w14:textId="77777777" w:rsidR="00DE3A06" w:rsidRPr="00B71DB6" w:rsidRDefault="00B71DB6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</w:pPr>
            <w:r w:rsidRPr="00B71DB6"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  <w:t>E</w:t>
            </w:r>
          </w:p>
          <w:p w14:paraId="6D1AEFF5" w14:textId="2EEF67F5" w:rsidR="00B71DB6" w:rsidRPr="00B71DB6" w:rsidRDefault="00B71DB6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val="en-US"/>
              </w:rPr>
            </w:pPr>
            <w:r w:rsidRPr="00B71DB6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699D" w14:textId="6F9E2824" w:rsidR="00DE3A06" w:rsidRPr="00DE3A06" w:rsidRDefault="00DE3A06" w:rsidP="007A178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DE3A0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Hollow Form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- </w:t>
            </w:r>
            <w:r w:rsidR="00B71DB6" w:rsidRPr="00024CF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Opening must be less than 20% of maximum diameter</w:t>
            </w:r>
            <w:r w:rsidR="00B71DB6"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  <w:r w:rsid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A01A9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Laminated material may be used.  Open and Closed Segmenting sections must not exceed 20%. (See Note 2 above).  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means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spect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will be considered as part of the 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Design criteria / Centre of Interest</w:t>
            </w:r>
            <w:r w:rsidR="00A01A9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for judging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DE3A06" w:rsidRPr="001A5178" w14:paraId="41C6143C" w14:textId="77777777" w:rsidTr="003744D0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8174" w14:textId="77777777" w:rsidR="00DE3A06" w:rsidRPr="000B458B" w:rsidRDefault="00DE3A06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23C5" w14:textId="1C8A7212" w:rsidR="00DE3A06" w:rsidRDefault="00FF14C9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DE3A06" w:rsidRPr="001A5178" w14:paraId="7109FCA8" w14:textId="77777777" w:rsidTr="003744D0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DE79" w14:textId="77777777" w:rsidR="00DE3A06" w:rsidRPr="000B458B" w:rsidRDefault="00DE3A06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7F1B" w14:textId="68029FF7" w:rsidR="00DE3A06" w:rsidRDefault="00FF14C9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DE3A06" w:rsidRPr="001A5178" w14:paraId="2F82AE10" w14:textId="77777777" w:rsidTr="003744D0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B624" w14:textId="77777777" w:rsidR="00DE3A06" w:rsidRPr="000B458B" w:rsidRDefault="00DE3A06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60F7" w14:textId="1FF83643" w:rsidR="00DE3A06" w:rsidRDefault="00FF14C9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3)</w:t>
            </w:r>
          </w:p>
        </w:tc>
      </w:tr>
      <w:tr w:rsidR="00DB73C1" w:rsidRPr="00FD607A" w14:paraId="5940EF25" w14:textId="77777777" w:rsidTr="003744D0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9D3A" w14:textId="787D7557" w:rsidR="00DB73C1" w:rsidRPr="000B458B" w:rsidRDefault="00B71DB6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F</w:t>
            </w:r>
          </w:p>
          <w:p w14:paraId="356F987B" w14:textId="77777777" w:rsidR="00DB73C1" w:rsidRPr="000B458B" w:rsidRDefault="00DB73C1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7B6E" w14:textId="3C894711" w:rsidR="00DB73C1" w:rsidRPr="00FD607A" w:rsidRDefault="00DB73C1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FD607A">
              <w:rPr>
                <w:rFonts w:ascii="Arial" w:hAnsi="Arial" w:cs="Arial"/>
                <w:b/>
                <w:bCs/>
                <w:sz w:val="20"/>
                <w:szCs w:val="20"/>
              </w:rPr>
              <w:t>Spindle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b/>
                <w:bCs/>
                <w:sz w:val="20"/>
                <w:szCs w:val="20"/>
              </w:rPr>
              <w:t>Turning</w:t>
            </w:r>
            <w:r w:rsidR="008E0C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-</w:t>
            </w:r>
            <w:r w:rsidR="008E0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Long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grain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turned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centres.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balustrades,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lampstand,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legs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chair,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bedpost,</w:t>
            </w:r>
            <w:r>
              <w:rPr>
                <w:rFonts w:ascii="Arial" w:hAnsi="Arial" w:cs="Arial"/>
                <w:sz w:val="20"/>
                <w:szCs w:val="20"/>
              </w:rPr>
              <w:t xml:space="preserve"> finial</w:t>
            </w:r>
            <w:r w:rsidR="006144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D607A">
              <w:rPr>
                <w:rFonts w:ascii="Arial" w:hAnsi="Arial" w:cs="Arial"/>
                <w:sz w:val="20"/>
                <w:szCs w:val="20"/>
              </w:rPr>
              <w:t>etc</w:t>
            </w:r>
            <w:r w:rsidRPr="00FD607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  <w:proofErr w:type="gramEnd"/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0C76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Laminated material and </w:t>
            </w:r>
            <w:r w:rsidR="008D1DE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</w:t>
            </w:r>
            <w:r w:rsid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egmenting may be incorporated in this category</w:t>
            </w:r>
            <w:r w:rsidR="0083185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subject to the Notes above</w:t>
            </w:r>
            <w:r w:rsidR="00B71DB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DB73C1" w:rsidRPr="000B458B" w14:paraId="3802F101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4385" w14:textId="77777777" w:rsidR="00DB73C1" w:rsidRPr="000B458B" w:rsidRDefault="00DB73C1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206F" w14:textId="77777777" w:rsidR="00DB73C1" w:rsidRPr="000B458B" w:rsidRDefault="00DB73C1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DB73C1" w:rsidRPr="000B458B" w14:paraId="22999BED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936C" w14:textId="77777777" w:rsidR="00DB73C1" w:rsidRPr="000B458B" w:rsidRDefault="00DB73C1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81D5" w14:textId="77777777" w:rsidR="00DB73C1" w:rsidRPr="000B458B" w:rsidRDefault="00DB73C1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DB73C1" w:rsidRPr="000B458B" w14:paraId="4906D5BC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F9AE0" w14:textId="77777777" w:rsidR="00DB73C1" w:rsidRPr="000B458B" w:rsidRDefault="00DB73C1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406" w14:textId="77777777" w:rsidR="00DB73C1" w:rsidRPr="000B458B" w:rsidRDefault="00DB73C1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FF14C9" w:rsidRPr="000B458B" w14:paraId="21DEE2ED" w14:textId="77777777" w:rsidTr="003744D0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CFDC" w14:textId="37D7BE2C" w:rsidR="00FF14C9" w:rsidRPr="000B458B" w:rsidRDefault="00FF14C9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G*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DD1F" w14:textId="2815DC4B" w:rsidR="00FF14C9" w:rsidRDefault="00841030" w:rsidP="008318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841030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Goblets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– These </w:t>
            </w:r>
            <w:r w:rsidR="00831851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pieces incorporate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a combination of Spindle and </w:t>
            </w:r>
            <w:r w:rsidR="008D1DE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F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ace </w:t>
            </w:r>
            <w:r w:rsidR="008D1DE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Pl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ate turning.</w:t>
            </w:r>
            <w:r>
              <w:rPr>
                <w:rFonts w:ascii="Arial" w:hAnsi="Arial" w:cs="Arial"/>
                <w:sz w:val="20"/>
                <w:szCs w:val="20"/>
              </w:rPr>
              <w:t xml:space="preserve"> Laminated material and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Segmenting may be incorporated in this category</w:t>
            </w:r>
            <w:r w:rsidR="00A01A9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subject to the N</w:t>
            </w:r>
            <w:r w:rsidR="008E0C84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otes above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Where an item contains surface colouring or embellishment except for mechanical means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spect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will be considered as part of the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Design criteria / Centre of Interest</w:t>
            </w:r>
            <w:r w:rsidR="00A01A96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for judging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FF14C9" w:rsidRPr="000B458B" w14:paraId="3656F0C7" w14:textId="77777777" w:rsidTr="003744D0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02AC" w14:textId="77777777" w:rsidR="00FF14C9" w:rsidRPr="000B458B" w:rsidRDefault="00FF14C9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6EA1" w14:textId="33076465" w:rsidR="00FF14C9" w:rsidRDefault="008133E2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FF14C9" w:rsidRPr="000B458B" w14:paraId="1C852758" w14:textId="77777777" w:rsidTr="003744D0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19CC6" w14:textId="77777777" w:rsidR="00FF14C9" w:rsidRPr="000B458B" w:rsidRDefault="00FF14C9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2FF9" w14:textId="3DF35BF7" w:rsidR="00FF14C9" w:rsidRDefault="008133E2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FF14C9" w:rsidRPr="000B458B" w14:paraId="69B2585A" w14:textId="77777777" w:rsidTr="003744D0">
        <w:trPr>
          <w:trHeight w:val="2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3913" w14:textId="77777777" w:rsidR="00FF14C9" w:rsidRPr="000B458B" w:rsidRDefault="00FF14C9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53A8" w14:textId="16C54969" w:rsidR="00FF14C9" w:rsidRDefault="008133E2" w:rsidP="009C0C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3)</w:t>
            </w:r>
          </w:p>
        </w:tc>
      </w:tr>
      <w:tr w:rsidR="00BB0FDD" w:rsidRPr="001A5178" w14:paraId="65D928B4" w14:textId="77777777" w:rsidTr="003744D0">
        <w:trPr>
          <w:trHeight w:val="6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C3CC" w14:textId="34455B7E" w:rsidR="00BB0FDD" w:rsidRPr="000B458B" w:rsidRDefault="00FF14C9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H</w:t>
            </w:r>
            <w:r w:rsidR="00BB0FDD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5D3F" w14:textId="130012A7" w:rsidR="00BB0FDD" w:rsidRPr="000B458B" w:rsidRDefault="00B65E37" w:rsidP="00374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FD607A">
              <w:rPr>
                <w:rFonts w:ascii="Arial" w:hAnsi="Arial" w:cs="Arial"/>
                <w:b/>
                <w:bCs/>
                <w:sz w:val="20"/>
                <w:szCs w:val="20"/>
              </w:rPr>
              <w:t>Turned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b/>
                <w:bCs/>
                <w:sz w:val="20"/>
                <w:szCs w:val="20"/>
              </w:rPr>
              <w:t>Lidded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b/>
                <w:bCs/>
                <w:sz w:val="20"/>
                <w:szCs w:val="20"/>
              </w:rPr>
              <w:t>Container</w:t>
            </w:r>
            <w:r w:rsidR="00C70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-</w:t>
            </w:r>
            <w:r w:rsidR="00C700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size.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4D0">
              <w:rPr>
                <w:rFonts w:ascii="Arial" w:hAnsi="Arial" w:cs="Arial"/>
                <w:sz w:val="20"/>
                <w:szCs w:val="20"/>
              </w:rPr>
              <w:t>The l</w:t>
            </w:r>
            <w:r w:rsidRPr="00FD607A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free,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threaded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hinged,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Hinges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threads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607A">
              <w:rPr>
                <w:rFonts w:ascii="Arial" w:hAnsi="Arial" w:cs="Arial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C84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FD607A">
              <w:rPr>
                <w:rFonts w:ascii="Arial" w:hAnsi="Arial" w:cs="Arial"/>
                <w:sz w:val="20"/>
                <w:szCs w:val="20"/>
              </w:rPr>
              <w:t>allowed</w:t>
            </w:r>
            <w:r w:rsidR="000C76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E0C84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Laminated material and Segmenting may be used subject to the Notes above. 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means</w:t>
            </w:r>
            <w:r w:rsidR="00C70014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spect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will be considered as part of the 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Design </w:t>
            </w:r>
            <w:r w:rsidR="005C367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criteria </w:t>
            </w:r>
            <w:r w:rsidR="00C70014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/ 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Centre of Interest</w:t>
            </w:r>
            <w:r w:rsidR="003744D0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for judging</w:t>
            </w:r>
            <w:r w:rsidR="00F9605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BB0FDD" w:rsidRPr="001A5178" w14:paraId="0099A703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7408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2D4D" w14:textId="77777777" w:rsidR="00BB0FDD" w:rsidRPr="005A60D0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</w:p>
        </w:tc>
      </w:tr>
      <w:tr w:rsidR="00BB0FDD" w:rsidRPr="001A5178" w14:paraId="14614C29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CEDF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FE01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BB0FDD" w:rsidRPr="001A5178" w14:paraId="051E57C3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9051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61F2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BB0FDD" w:rsidRPr="001A5178" w14:paraId="7BD24155" w14:textId="77777777" w:rsidTr="003744D0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74F4" w14:textId="4BB54160" w:rsidR="00BB0FDD" w:rsidRPr="000B458B" w:rsidRDefault="00FF14C9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I</w:t>
            </w:r>
            <w:r w:rsidR="00BB0FDD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BFC9" w14:textId="6747D29F" w:rsidR="00BB0FDD" w:rsidRPr="000B458B" w:rsidRDefault="00B65E37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C7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Closed </w:t>
            </w:r>
            <w:r w:rsidRPr="00545604">
              <w:rPr>
                <w:rFonts w:ascii="Arial" w:hAnsi="Arial" w:cs="Arial"/>
                <w:b/>
                <w:bCs/>
                <w:sz w:val="20"/>
                <w:szCs w:val="20"/>
              </w:rPr>
              <w:t>Segmented</w:t>
            </w:r>
            <w:r w:rsidR="000C76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Open Segmented or Lattice </w:t>
            </w:r>
            <w:r w:rsidRPr="00545604">
              <w:rPr>
                <w:rFonts w:ascii="Arial" w:hAnsi="Arial" w:cs="Arial"/>
                <w:b/>
                <w:bCs/>
                <w:sz w:val="20"/>
                <w:szCs w:val="20"/>
              </w:rPr>
              <w:t>Form</w:t>
            </w:r>
            <w:r w:rsidR="00C700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turning - </w:t>
            </w:r>
            <w:r w:rsidR="006A6148" w:rsidRPr="006A6148">
              <w:rPr>
                <w:rFonts w:ascii="Arial" w:hAnsi="Arial" w:cs="Arial"/>
                <w:sz w:val="20"/>
                <w:szCs w:val="20"/>
              </w:rPr>
              <w:t>Any size.</w:t>
            </w:r>
          </w:p>
        </w:tc>
      </w:tr>
      <w:tr w:rsidR="00BB0FDD" w:rsidRPr="001A5178" w14:paraId="0FD9FF1F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4660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AB51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BB0FDD" w:rsidRPr="001A5178" w14:paraId="049B0A0E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00AF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0ACC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BB0FDD" w:rsidRPr="001A5178" w14:paraId="47E30ECD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7BAC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655B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BB0FDD" w:rsidRPr="001A5178" w14:paraId="394CEF28" w14:textId="77777777" w:rsidTr="003744D0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B7E5" w14:textId="40E02C0A" w:rsidR="00BB0FDD" w:rsidRPr="000B458B" w:rsidRDefault="00FF14C9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J</w:t>
            </w:r>
          </w:p>
          <w:p w14:paraId="788ABBD5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CD17" w14:textId="64B031A4" w:rsidR="00BB0FDD" w:rsidRPr="000B458B" w:rsidRDefault="00B65E37" w:rsidP="003744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Pens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&amp;</w:t>
            </w: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Pencils </w:t>
            </w:r>
            <w:r w:rsidRPr="00D065D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–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C7001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</w:t>
            </w:r>
            <w:r w:rsidRPr="0022161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ubstantially turned from either wood or acrylic material. Pens or pencils may have bands</w:t>
            </w:r>
            <w:r w:rsidR="009A5A5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DF43D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(</w:t>
            </w:r>
            <w:proofErr w:type="spellStart"/>
            <w:r w:rsidR="009A5A5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eg.</w:t>
            </w:r>
            <w:proofErr w:type="spellEnd"/>
            <w:r w:rsidR="009A5A5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laminating</w:t>
            </w:r>
            <w:r w:rsidR="00DF43D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  <w:r w:rsidR="009A5A5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Pr="0022161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or other features made of wood, non-ferrous metals, acrylic</w:t>
            </w:r>
            <w:r w:rsidR="009A5A5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 resin</w:t>
            </w:r>
            <w:r w:rsidRPr="0022161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or another material that is turned in the process of producing the pen or pencil. The pen or pencil must be capable of producing writing</w:t>
            </w:r>
            <w:r w:rsidR="00C51B6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at the time of judging</w:t>
            </w:r>
            <w:r w:rsidR="003744D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.  </w:t>
            </w:r>
            <w:r w:rsidR="000C76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Segmenting may be incorporated in this category.</w:t>
            </w:r>
          </w:p>
        </w:tc>
      </w:tr>
      <w:tr w:rsidR="00BB0FDD" w:rsidRPr="001A5178" w14:paraId="74280104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987D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CDC6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BB0FDD" w:rsidRPr="001A5178" w14:paraId="754F8387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D95C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6F44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BB0FDD" w:rsidRPr="001A5178" w14:paraId="47855DFD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CD9B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54A6" w14:textId="77777777" w:rsidR="00BB0FDD" w:rsidRPr="000B458B" w:rsidRDefault="00BB0FDD" w:rsidP="00E066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6B7830" w:rsidRPr="001A5178" w14:paraId="704279BA" w14:textId="77777777" w:rsidTr="003744D0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8C26" w14:textId="557FAF53" w:rsidR="006B7830" w:rsidRPr="000B458B" w:rsidRDefault="006B7830" w:rsidP="00C403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K</w:t>
            </w:r>
          </w:p>
          <w:p w14:paraId="05D47476" w14:textId="77777777" w:rsidR="006B7830" w:rsidRPr="000B458B" w:rsidRDefault="006B7830" w:rsidP="00C403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8080" w14:textId="247F4C0C" w:rsidR="008E0C84" w:rsidRPr="00C4031E" w:rsidRDefault="006B7830" w:rsidP="006144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C4031E">
              <w:rPr>
                <w:rFonts w:ascii="Arial" w:hAnsi="Arial" w:cs="Arial"/>
                <w:b/>
                <w:bCs/>
                <w:sz w:val="20"/>
                <w:szCs w:val="20"/>
              </w:rPr>
              <w:t>Identical Pairs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403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C4031E">
              <w:rPr>
                <w:rFonts w:ascii="Arial" w:hAnsi="Arial" w:cs="Arial"/>
                <w:sz w:val="20"/>
                <w:szCs w:val="20"/>
              </w:rPr>
              <w:t>dentical in every way. Examples include goblets, eggs or fruit, ches</w:t>
            </w:r>
            <w:r w:rsidR="008E0C84">
              <w:rPr>
                <w:rFonts w:ascii="Arial" w:hAnsi="Arial" w:cs="Arial"/>
                <w:sz w:val="20"/>
                <w:szCs w:val="20"/>
              </w:rPr>
              <w:t xml:space="preserve">s pieces, </w:t>
            </w:r>
            <w:r w:rsidR="007A670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E0C84">
              <w:rPr>
                <w:rFonts w:ascii="Arial" w:hAnsi="Arial" w:cs="Arial"/>
                <w:sz w:val="20"/>
                <w:szCs w:val="20"/>
              </w:rPr>
              <w:t>set of coasters, salt</w:t>
            </w:r>
            <w:r w:rsidRPr="00C4031E">
              <w:rPr>
                <w:rFonts w:ascii="Arial" w:hAnsi="Arial" w:cs="Arial"/>
                <w:sz w:val="20"/>
                <w:szCs w:val="20"/>
              </w:rPr>
              <w:t xml:space="preserve"> and pepper grinders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D25E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</w:t>
            </w:r>
            <w:r w:rsidR="004D0AB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spect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will be considered as part of the </w:t>
            </w:r>
            <w:r w:rsidR="00C70014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Design c</w:t>
            </w:r>
            <w:r w:rsidR="008E0C84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riteria / Centre of Interest.</w:t>
            </w:r>
          </w:p>
        </w:tc>
      </w:tr>
      <w:tr w:rsidR="0010716A" w:rsidRPr="001A5178" w14:paraId="7294A5A1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BC7F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2B95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10716A" w:rsidRPr="001A5178" w14:paraId="202161DD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FBA9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6B12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10716A" w:rsidRPr="001A5178" w14:paraId="7CCF52BD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2A56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F0EC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10716A" w:rsidRPr="001A5178" w14:paraId="498A2221" w14:textId="77777777" w:rsidTr="003744D0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2807" w14:textId="2E0A2726" w:rsidR="0010716A" w:rsidRPr="00B65E37" w:rsidRDefault="00FF14C9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L</w:t>
            </w:r>
          </w:p>
          <w:p w14:paraId="595A68B0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0119" w14:textId="1E60F24C" w:rsidR="0010716A" w:rsidRPr="00FD607A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1E3E2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Article</w:t>
            </w:r>
            <w:r w:rsidR="005C367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</w:t>
            </w:r>
            <w:r w:rsidRPr="001E3E2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Incorporating Other Work or Materials (Turned)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- </w:t>
            </w:r>
            <w:r w:rsidRPr="001E3E2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Any size. Includes additional work to enhance the basic turned article. Articles incorporating Other Work may include</w:t>
            </w:r>
            <w:r w:rsidR="00B7069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segmenting, </w:t>
            </w:r>
            <w:r w:rsidRPr="001E3E2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carving, pyrography, colouring, routing, piercing, scroll sawing, etc.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A</w:t>
            </w:r>
            <w:r w:rsidRPr="001E3E2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rticles with Other Materials may incorporate metal, leather, plastic,</w:t>
            </w:r>
            <w:r w:rsidR="003744D0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resin,</w:t>
            </w:r>
            <w:r w:rsidRPr="001E3E2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etc</w:t>
            </w:r>
            <w:r w:rsidR="003744D0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  <w:r w:rsidRPr="001E3E2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10716A" w:rsidRPr="001A5178" w14:paraId="57AAAABB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242E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CA89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10716A" w:rsidRPr="001A5178" w14:paraId="37F0EA54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B448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FAA9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10716A" w:rsidRPr="001A5178" w14:paraId="4B91AF33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768D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D77E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10716A" w:rsidRPr="000B458B" w14:paraId="4D67D72A" w14:textId="77777777" w:rsidTr="003744D0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65E9" w14:textId="6DE8F963" w:rsidR="0010716A" w:rsidRPr="000B458B" w:rsidRDefault="00FF14C9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M</w:t>
            </w:r>
            <w:r w:rsidR="0010716A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7F14" w14:textId="5AA2063B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4E51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Turned Miniature </w:t>
            </w:r>
            <w:r w:rsidRPr="004E51A9">
              <w:rPr>
                <w:rFonts w:ascii="Arial" w:hAnsi="Arial" w:cs="Arial"/>
                <w:sz w:val="20"/>
                <w:szCs w:val="20"/>
              </w:rPr>
              <w:t>- Scaled version of a real item. Finished item must fit within a 50mm cube</w:t>
            </w:r>
            <w:r>
              <w:rPr>
                <w:sz w:val="20"/>
                <w:szCs w:val="20"/>
              </w:rPr>
              <w:t>.</w:t>
            </w:r>
            <w:r w:rsidR="009A5A5A">
              <w:rPr>
                <w:sz w:val="20"/>
                <w:szCs w:val="20"/>
              </w:rPr>
              <w:t xml:space="preserve">  </w:t>
            </w:r>
            <w:r w:rsidR="009A5A5A" w:rsidRPr="00DF43D1">
              <w:rPr>
                <w:rFonts w:ascii="Arial" w:hAnsi="Arial" w:cs="Arial"/>
                <w:sz w:val="20"/>
                <w:szCs w:val="20"/>
              </w:rPr>
              <w:t>Laminating and Segmenting may be incorporated in these pieces.</w:t>
            </w:r>
          </w:p>
        </w:tc>
      </w:tr>
      <w:tr w:rsidR="0010716A" w:rsidRPr="005A60D0" w14:paraId="4A74CC2A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493D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80FA" w14:textId="77777777" w:rsidR="0010716A" w:rsidRPr="005A60D0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</w:p>
        </w:tc>
      </w:tr>
      <w:tr w:rsidR="0010716A" w:rsidRPr="000B458B" w14:paraId="2EE18AD0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3CD3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5521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10716A" w:rsidRPr="000B458B" w14:paraId="1900FFB0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0D67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F8F7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10716A" w:rsidRPr="000B458B" w14:paraId="0FA062D4" w14:textId="77777777" w:rsidTr="003744D0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C240" w14:textId="6CC5FA32" w:rsidR="0010716A" w:rsidRPr="000B458B" w:rsidRDefault="00FF14C9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N*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FDBF" w14:textId="01F798FE" w:rsidR="0010716A" w:rsidRPr="000B458B" w:rsidRDefault="0010716A" w:rsidP="002B50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A63046">
              <w:rPr>
                <w:rFonts w:ascii="Arial" w:hAnsi="Arial" w:cs="Arial"/>
                <w:b/>
                <w:bCs/>
                <w:sz w:val="20"/>
                <w:szCs w:val="20"/>
              </w:rPr>
              <w:t>Turned Christmas Tree Ornament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630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63046">
              <w:rPr>
                <w:rFonts w:ascii="Arial" w:hAnsi="Arial" w:cs="Arial"/>
                <w:sz w:val="20"/>
                <w:szCs w:val="20"/>
              </w:rPr>
              <w:t>Item</w:t>
            </w:r>
            <w:r w:rsidR="002B50BA">
              <w:rPr>
                <w:rFonts w:ascii="Arial" w:hAnsi="Arial" w:cs="Arial"/>
                <w:sz w:val="20"/>
                <w:szCs w:val="20"/>
              </w:rPr>
              <w:t>s</w:t>
            </w:r>
            <w:r w:rsidRPr="00A63046">
              <w:rPr>
                <w:rFonts w:ascii="Arial" w:hAnsi="Arial" w:cs="Arial"/>
                <w:sz w:val="20"/>
                <w:szCs w:val="20"/>
              </w:rPr>
              <w:t xml:space="preserve"> should be substantia</w:t>
            </w:r>
            <w:r w:rsidR="002B50BA">
              <w:rPr>
                <w:rFonts w:ascii="Arial" w:hAnsi="Arial" w:cs="Arial"/>
                <w:sz w:val="20"/>
                <w:szCs w:val="20"/>
              </w:rPr>
              <w:t>lly made of wood and highlight</w:t>
            </w:r>
            <w:r w:rsidRPr="00A63046">
              <w:rPr>
                <w:rFonts w:ascii="Arial" w:hAnsi="Arial" w:cs="Arial"/>
                <w:sz w:val="20"/>
                <w:szCs w:val="20"/>
              </w:rPr>
              <w:t xml:space="preserve"> the beauty of the selected species</w:t>
            </w:r>
            <w:r w:rsidR="002B50BA" w:rsidRPr="00DF43D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25E7E" w:rsidRPr="00DF4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3D1" w:rsidRPr="00DF43D1">
              <w:rPr>
                <w:rFonts w:ascii="Arial" w:hAnsi="Arial" w:cs="Arial"/>
                <w:sz w:val="20"/>
                <w:szCs w:val="20"/>
              </w:rPr>
              <w:t>Laminating and Segmenting may be incorporated in these pieces.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means</w:t>
            </w:r>
            <w:r w:rsidR="006144F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</w:t>
            </w:r>
            <w:r w:rsidR="00790A9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spect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will be considered as part of the </w:t>
            </w:r>
            <w:r w:rsidR="00790A9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Design criteria / Centre of Interest</w:t>
            </w:r>
            <w:r w:rsidR="003744D0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for judging</w:t>
            </w:r>
            <w:r w:rsidR="00790A9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10716A" w:rsidRPr="000B458B" w14:paraId="393CF85B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1BB6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CD89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10716A" w:rsidRPr="000B458B" w14:paraId="1B13C14C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9100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93F3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10716A" w:rsidRPr="000B458B" w14:paraId="7D35BF34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494A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7D10" w14:textId="77777777" w:rsidR="0010716A" w:rsidRPr="000B458B" w:rsidRDefault="0010716A" w:rsidP="001071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1E5DF4" w:rsidRPr="000B458B" w14:paraId="5D2A2B91" w14:textId="77777777" w:rsidTr="003744D0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BD06" w14:textId="56BF97AC" w:rsidR="001E5DF4" w:rsidRPr="00433C98" w:rsidRDefault="001E5DF4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</w:pPr>
            <w:r>
              <w:br w:type="page"/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5CCE" w14:textId="77777777" w:rsidR="001E5DF4" w:rsidRPr="0022161A" w:rsidRDefault="001E5DF4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</w:p>
        </w:tc>
      </w:tr>
      <w:tr w:rsidR="00FE38A9" w:rsidRPr="000B458B" w14:paraId="55E6B008" w14:textId="77777777" w:rsidTr="003744D0">
        <w:trPr>
          <w:trHeight w:val="2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4300" w14:textId="0F4D45A0" w:rsidR="00FE38A9" w:rsidRPr="00433C98" w:rsidRDefault="00FF14C9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O</w:t>
            </w:r>
          </w:p>
          <w:p w14:paraId="6DE1041B" w14:textId="14AA890A" w:rsidR="00FE38A9" w:rsidRPr="000B458B" w:rsidRDefault="00FE38A9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66FC" w14:textId="05F061E5" w:rsidR="00FE38A9" w:rsidRPr="000B458B" w:rsidRDefault="00FE38A9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22161A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Non-</w:t>
            </w:r>
            <w:r w:rsidR="004F09C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T</w:t>
            </w:r>
            <w:r w:rsidRPr="0022161A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urned </w:t>
            </w:r>
            <w:r w:rsidR="00C041AE" w:rsidRPr="0022161A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Wood </w:t>
            </w:r>
            <w:r w:rsidRPr="0022161A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Items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- </w:t>
            </w:r>
            <w:r w:rsidRPr="0022161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Includes toys, models, non-turned boxes and wood carved items. May also include small items of furniture (no dimension to exceed 500 mm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  <w:r w:rsidRPr="0022161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. Items must be substantially made of wood with any mechanical component made of metal, ceramic, </w:t>
            </w:r>
            <w:proofErr w:type="gramStart"/>
            <w:r w:rsidRPr="0022161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etc</w:t>
            </w:r>
            <w:r w:rsidR="002B50B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  <w:r w:rsidRPr="0022161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  <w:proofErr w:type="gramEnd"/>
            <w:r w:rsidR="002B50B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D25E7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5C367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means</w:t>
            </w:r>
            <w:r w:rsidR="005C367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="00D25E7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area will be considered as part of the </w:t>
            </w:r>
            <w:r w:rsidR="00BC024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Design criteria / Centre of Interest</w:t>
            </w:r>
            <w:r w:rsidR="003744D0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for judging</w:t>
            </w:r>
            <w:r w:rsidR="00BC0248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tr w:rsidR="00FE38A9" w:rsidRPr="000B458B" w14:paraId="5AEEC2FF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FEB2" w14:textId="77777777" w:rsidR="00FE38A9" w:rsidRPr="000B458B" w:rsidRDefault="00FE38A9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B9B3" w14:textId="77777777" w:rsidR="00FE38A9" w:rsidRPr="000B458B" w:rsidRDefault="00FE38A9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FE38A9" w:rsidRPr="000B458B" w14:paraId="00760167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889B" w14:textId="77777777" w:rsidR="00FE38A9" w:rsidRPr="000B458B" w:rsidRDefault="00FE38A9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6"/>
                <w:szCs w:val="26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45F39" w14:textId="77777777" w:rsidR="00FE38A9" w:rsidRPr="000B458B" w:rsidRDefault="00FE38A9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FE38A9" w:rsidRPr="000B458B" w14:paraId="4F9C42C1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6AEA" w14:textId="77777777" w:rsidR="00FE38A9" w:rsidRPr="000B458B" w:rsidRDefault="00FE38A9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6A13" w14:textId="77777777" w:rsidR="00FE38A9" w:rsidRPr="000B458B" w:rsidRDefault="00FE38A9" w:rsidP="004416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433C98" w:rsidRPr="001A5178" w14:paraId="6109CFD5" w14:textId="77777777" w:rsidTr="003744D0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E57A" w14:textId="77777777" w:rsidR="00BE33CC" w:rsidRDefault="00BE33CC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</w:pPr>
          </w:p>
          <w:p w14:paraId="2BCA98EA" w14:textId="77777777" w:rsidR="00BE33CC" w:rsidRDefault="00BE33CC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</w:pPr>
          </w:p>
          <w:p w14:paraId="0B377732" w14:textId="755090A4" w:rsidR="00433C98" w:rsidRPr="00B65E37" w:rsidRDefault="00FF14C9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P</w:t>
            </w:r>
          </w:p>
          <w:p w14:paraId="69E462AC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EA2F" w14:textId="77777777" w:rsidR="00433C98" w:rsidRPr="00FD607A" w:rsidRDefault="00433C98" w:rsidP="00BE33CC">
            <w:pPr>
              <w:pStyle w:val="Default"/>
              <w:rPr>
                <w:rFonts w:eastAsia="Arial Unicode MS"/>
                <w:sz w:val="20"/>
                <w:szCs w:val="20"/>
                <w:u w:color="000000"/>
                <w:bdr w:val="nil"/>
                <w:lang w:val="en-US" w:eastAsia="zh-CN"/>
              </w:rPr>
            </w:pPr>
          </w:p>
        </w:tc>
      </w:tr>
      <w:tr w:rsidR="00433C98" w:rsidRPr="001A5178" w14:paraId="4AD30FB8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1883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3648" w14:textId="12EE9851" w:rsidR="00433C98" w:rsidRPr="002B29C6" w:rsidRDefault="00BE33CC" w:rsidP="002B29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0136E">
              <w:rPr>
                <w:b/>
                <w:bCs/>
                <w:sz w:val="20"/>
                <w:szCs w:val="20"/>
              </w:rPr>
              <w:t xml:space="preserve">Pyrography. </w:t>
            </w:r>
            <w:r w:rsidRPr="0050136E">
              <w:rPr>
                <w:sz w:val="20"/>
                <w:szCs w:val="20"/>
              </w:rPr>
              <w:t>Any item where pyrographic design is the predominant feature. May include pictures on flat surfaces or decorated wood-turned items. Items produced with the aid of a Laser Cutter, Laser Engraver or CNC machine are not permitted</w:t>
            </w:r>
            <w:r w:rsidR="00002FE9" w:rsidRPr="0050136E">
              <w:rPr>
                <w:sz w:val="20"/>
                <w:szCs w:val="20"/>
              </w:rPr>
              <w:t xml:space="preserve">. </w:t>
            </w:r>
            <w:r w:rsidR="00DE6E6F" w:rsidRPr="0050136E">
              <w:rPr>
                <w:sz w:val="20"/>
                <w:szCs w:val="20"/>
              </w:rPr>
              <w:t xml:space="preserve">Where a turned item is entered into this category judging will be of the </w:t>
            </w:r>
            <w:r w:rsidR="00DE6E6F" w:rsidRPr="0050136E">
              <w:rPr>
                <w:b/>
                <w:bCs/>
                <w:sz w:val="20"/>
                <w:szCs w:val="20"/>
              </w:rPr>
              <w:t>pyrography only</w:t>
            </w:r>
            <w:r w:rsidR="008E2D32">
              <w:rPr>
                <w:b/>
                <w:bCs/>
                <w:sz w:val="20"/>
                <w:szCs w:val="20"/>
              </w:rPr>
              <w:t>,</w:t>
            </w:r>
            <w:r w:rsidR="00DE6E6F" w:rsidRPr="0050136E">
              <w:rPr>
                <w:sz w:val="20"/>
                <w:szCs w:val="20"/>
              </w:rPr>
              <w:t xml:space="preserve"> </w:t>
            </w:r>
            <w:r w:rsidR="00DE6E6F" w:rsidRPr="0050136E">
              <w:rPr>
                <w:b/>
                <w:bCs/>
                <w:sz w:val="20"/>
                <w:szCs w:val="20"/>
              </w:rPr>
              <w:t>not the whole article.</w:t>
            </w:r>
          </w:p>
        </w:tc>
      </w:tr>
      <w:tr w:rsidR="00BE33CC" w:rsidRPr="001A5178" w14:paraId="52C0D4E6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702B" w14:textId="77777777" w:rsidR="00BE33CC" w:rsidRPr="000B458B" w:rsidRDefault="00BE33CC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0AE5" w14:textId="026DDEAE" w:rsidR="00BE33CC" w:rsidRPr="0050136E" w:rsidRDefault="00BE33CC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1)</w:t>
            </w:r>
          </w:p>
        </w:tc>
      </w:tr>
      <w:tr w:rsidR="00433C98" w:rsidRPr="001A5178" w14:paraId="0C038587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DC17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1474" w14:textId="77777777" w:rsidR="00433C98" w:rsidRPr="0050136E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2)</w:t>
            </w:r>
          </w:p>
        </w:tc>
      </w:tr>
      <w:tr w:rsidR="00433C98" w:rsidRPr="001A5178" w14:paraId="022B0296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4848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FF3DC" w14:textId="77777777" w:rsidR="00433C98" w:rsidRPr="0050136E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3)</w:t>
            </w:r>
          </w:p>
        </w:tc>
      </w:tr>
      <w:tr w:rsidR="00433C98" w:rsidRPr="001A5178" w14:paraId="080D672F" w14:textId="77777777" w:rsidTr="003744D0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6DF8" w14:textId="112BCD4E" w:rsidR="00433C98" w:rsidRPr="00B65E37" w:rsidRDefault="00FF14C9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</w:pPr>
            <w:bookmarkStart w:id="0" w:name="_Hlk51927950"/>
            <w:bookmarkStart w:id="1" w:name="_Hlk51927897"/>
            <w:bookmarkStart w:id="2" w:name="_Hlk51927779"/>
            <w:r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en-US" w:eastAsia="zh-CN"/>
              </w:rPr>
              <w:t>Q</w:t>
            </w:r>
          </w:p>
          <w:p w14:paraId="652EB5A8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  <w:t>*</w:t>
            </w: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BE3D1" w14:textId="18A2D18C" w:rsidR="00433C98" w:rsidRPr="0050136E" w:rsidRDefault="00433C98" w:rsidP="00110042">
            <w:pPr>
              <w:pStyle w:val="Default"/>
              <w:rPr>
                <w:sz w:val="20"/>
                <w:szCs w:val="20"/>
              </w:rPr>
            </w:pPr>
            <w:bookmarkStart w:id="3" w:name="_Hlk51927995"/>
            <w:r w:rsidRPr="0050136E">
              <w:rPr>
                <w:b/>
                <w:bCs/>
                <w:sz w:val="20"/>
                <w:szCs w:val="20"/>
              </w:rPr>
              <w:t>Other Turned Items</w:t>
            </w:r>
            <w:r w:rsidR="00F379CD" w:rsidRPr="0050136E">
              <w:rPr>
                <w:b/>
                <w:bCs/>
                <w:sz w:val="20"/>
                <w:szCs w:val="20"/>
              </w:rPr>
              <w:t>.</w:t>
            </w:r>
            <w:r w:rsidRPr="0050136E">
              <w:rPr>
                <w:b/>
                <w:bCs/>
                <w:sz w:val="20"/>
                <w:szCs w:val="20"/>
              </w:rPr>
              <w:t xml:space="preserve"> </w:t>
            </w:r>
            <w:r w:rsidR="00F379CD" w:rsidRPr="0050136E">
              <w:rPr>
                <w:sz w:val="20"/>
                <w:szCs w:val="20"/>
              </w:rPr>
              <w:t xml:space="preserve">Items turned of wood that do not fit the stated </w:t>
            </w:r>
            <w:r w:rsidR="00823E1C" w:rsidRPr="0050136E">
              <w:rPr>
                <w:sz w:val="20"/>
                <w:szCs w:val="20"/>
              </w:rPr>
              <w:t xml:space="preserve">guidelines </w:t>
            </w:r>
            <w:r w:rsidR="00F379CD" w:rsidRPr="0050136E">
              <w:rPr>
                <w:sz w:val="20"/>
                <w:szCs w:val="20"/>
              </w:rPr>
              <w:t>of Categories A to L</w:t>
            </w:r>
            <w:r w:rsidR="00D25E7E" w:rsidRPr="0050136E">
              <w:rPr>
                <w:sz w:val="20"/>
                <w:szCs w:val="20"/>
              </w:rPr>
              <w:t xml:space="preserve">. </w:t>
            </w:r>
          </w:p>
          <w:bookmarkEnd w:id="3"/>
          <w:p w14:paraId="195FB773" w14:textId="5CAC5AE7" w:rsidR="00433C98" w:rsidRPr="0050136E" w:rsidRDefault="00D25E7E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Where an item contains surface colouring or embellishment</w:t>
            </w:r>
            <w:r w:rsidR="002B50B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except for mechanical means</w:t>
            </w:r>
            <w:r w:rsidR="002B50BA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,</w:t>
            </w:r>
            <w:r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this a</w:t>
            </w:r>
            <w:r w:rsidR="0050136E"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spect</w:t>
            </w:r>
            <w:r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 xml:space="preserve"> will be considered as part of the </w:t>
            </w:r>
            <w:r w:rsidR="0050136E"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Desi</w:t>
            </w:r>
            <w:r w:rsidR="003744D0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gn criteria / Centre of Interest for judging</w:t>
            </w:r>
            <w:r w:rsidR="0050136E" w:rsidRPr="0050136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.</w:t>
            </w:r>
          </w:p>
        </w:tc>
      </w:tr>
      <w:bookmarkEnd w:id="0"/>
      <w:tr w:rsidR="00433C98" w:rsidRPr="001A5178" w14:paraId="11CD3E8F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3697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0164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1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433C98" w:rsidRPr="001A5178" w14:paraId="132FDC27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B6B7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u w:color="000000"/>
                <w:bdr w:val="nil"/>
                <w:lang w:val="en-US" w:eastAsia="zh-CN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F37E3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2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tr w:rsidR="00433C98" w:rsidRPr="001A5178" w14:paraId="587F51D4" w14:textId="77777777" w:rsidTr="003744D0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9218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78F6" w14:textId="77777777" w:rsidR="00433C98" w:rsidRPr="000B458B" w:rsidRDefault="00433C98" w:rsidP="001100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3</w:t>
            </w:r>
            <w:r w:rsidRPr="000B458B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 w:eastAsia="zh-CN"/>
              </w:rPr>
              <w:t>)</w:t>
            </w:r>
          </w:p>
        </w:tc>
      </w:tr>
      <w:bookmarkEnd w:id="1"/>
    </w:tbl>
    <w:p w14:paraId="27731167" w14:textId="77777777" w:rsidR="00433C98" w:rsidRDefault="00433C98" w:rsidP="00433C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992"/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zh-CN"/>
        </w:rPr>
      </w:pPr>
    </w:p>
    <w:bookmarkEnd w:id="2"/>
    <w:p w14:paraId="52EA6353" w14:textId="77777777" w:rsidR="00916905" w:rsidRDefault="00916905" w:rsidP="00AE4F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992"/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color="000000"/>
          <w:bdr w:val="nil"/>
          <w:lang w:val="en-US" w:eastAsia="zh-CN"/>
        </w:rPr>
      </w:pPr>
    </w:p>
    <w:p w14:paraId="339F4B61" w14:textId="77777777" w:rsidR="005A39B6" w:rsidRDefault="005A39B6" w:rsidP="002176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992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val="en-US" w:eastAsia="zh-CN"/>
        </w:rPr>
      </w:pPr>
    </w:p>
    <w:p w14:paraId="011BA6E0" w14:textId="77777777" w:rsidR="005A39B6" w:rsidRDefault="005A39B6" w:rsidP="002176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992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  <w:lang w:val="en-US" w:eastAsia="zh-CN"/>
        </w:rPr>
      </w:pPr>
    </w:p>
    <w:p w14:paraId="55194069" w14:textId="77777777" w:rsidR="002176B5" w:rsidRPr="005A39B6" w:rsidRDefault="000E3F22" w:rsidP="002176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992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en-US" w:eastAsia="zh-CN"/>
        </w:rPr>
      </w:pPr>
      <w:r w:rsidRPr="005A39B6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en-US" w:eastAsia="zh-CN"/>
        </w:rPr>
        <w:t>Member</w:t>
      </w:r>
      <w:r w:rsidRPr="005A39B6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fr-FR" w:eastAsia="zh-CN"/>
        </w:rPr>
        <w:t>’</w:t>
      </w:r>
      <w:r w:rsidRPr="005A39B6"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en-US" w:eastAsia="zh-CN"/>
        </w:rPr>
        <w:t>s Signature: ……………………………………………………Date: ...............................</w:t>
      </w:r>
    </w:p>
    <w:p w14:paraId="30275DC5" w14:textId="77777777" w:rsidR="005A39B6" w:rsidRDefault="005A39B6" w:rsidP="00EF7E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993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</w:pPr>
    </w:p>
    <w:p w14:paraId="4AF56759" w14:textId="77777777" w:rsidR="005A39B6" w:rsidRDefault="000E3F22" w:rsidP="00EF7E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993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</w:pPr>
      <w:r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Return </w:t>
      </w:r>
      <w:r w:rsidR="002176B5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completed </w:t>
      </w:r>
      <w:r w:rsid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Entry F</w:t>
      </w:r>
      <w:r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orms by</w:t>
      </w:r>
      <w:r w:rsidR="002176B5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:</w:t>
      </w:r>
      <w:r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</w:t>
      </w:r>
      <w:r w:rsidR="002B50BA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</w:t>
      </w:r>
    </w:p>
    <w:p w14:paraId="67059BDF" w14:textId="77777777" w:rsidR="005A39B6" w:rsidRDefault="000E3F22" w:rsidP="005A39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</w:pPr>
      <w:r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EMAIL </w:t>
      </w:r>
      <w:r w:rsidR="00763EBC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t</w:t>
      </w:r>
      <w:r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o </w:t>
      </w:r>
      <w:hyperlink r:id="rId8" w:history="1">
        <w:r w:rsidR="00763EBC" w:rsidRPr="005A39B6">
          <w:rPr>
            <w:rStyle w:val="Hyperlink"/>
            <w:rFonts w:ascii="Arial" w:eastAsia="Arial Unicode MS" w:hAnsi="Arial" w:cs="Arial"/>
            <w:b/>
            <w:bCs/>
            <w:i/>
            <w:iCs/>
            <w:sz w:val="28"/>
            <w:szCs w:val="28"/>
            <w:bdr w:val="nil"/>
            <w:lang w:val="en-US" w:eastAsia="zh-CN"/>
          </w:rPr>
          <w:t>membership@wsqld.org.au</w:t>
        </w:r>
      </w:hyperlink>
      <w:r w:rsidR="002176B5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;</w:t>
      </w:r>
      <w:r w:rsidR="002B50BA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 </w:t>
      </w:r>
      <w:r w:rsidR="002176B5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</w:t>
      </w:r>
    </w:p>
    <w:p w14:paraId="06D28DE3" w14:textId="77777777" w:rsidR="005A39B6" w:rsidRDefault="002176B5" w:rsidP="005A39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</w:pPr>
      <w:r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placing</w:t>
      </w:r>
      <w:r w:rsidR="00763EBC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in </w:t>
      </w:r>
      <w:r w:rsidR="00AE4FCD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the</w:t>
      </w:r>
      <w:r w:rsidR="00763EBC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receptacle in the Library</w:t>
      </w:r>
      <w:r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;</w:t>
      </w:r>
      <w:r w:rsidR="00763EBC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</w:t>
      </w:r>
      <w:r w:rsidR="002B50BA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</w:t>
      </w:r>
      <w:r w:rsidR="00763EBC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or</w:t>
      </w:r>
      <w:r w:rsidR="005A39B6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,</w:t>
      </w:r>
      <w:r w:rsidR="00763EBC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</w:t>
      </w:r>
    </w:p>
    <w:p w14:paraId="7C079E48" w14:textId="722C267E" w:rsidR="00A73D0C" w:rsidRPr="00A73D0C" w:rsidRDefault="00763EBC" w:rsidP="00A73D0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</w:pPr>
      <w:r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c</w:t>
      </w:r>
      <w:r w:rsidR="005A39B6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ompleted Entry F</w:t>
      </w:r>
      <w:r w:rsidR="000E3F22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>orms can also be posted</w:t>
      </w:r>
      <w:r w:rsidR="002176B5" w:rsidRPr="005A39B6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to WSQ.</w:t>
      </w:r>
      <w:r w:rsidR="002B50BA" w:rsidRPr="00A73D0C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</w:t>
      </w:r>
      <w:r w:rsidR="00EF7E49" w:rsidRPr="00A73D0C">
        <w:rPr>
          <w:rFonts w:ascii="Arial" w:eastAsia="Arial Unicode MS" w:hAnsi="Arial" w:cs="Arial"/>
          <w:b/>
          <w:bCs/>
          <w:i/>
          <w:iCs/>
          <w:color w:val="000000"/>
          <w:sz w:val="28"/>
          <w:szCs w:val="28"/>
          <w:u w:color="000000"/>
          <w:bdr w:val="nil"/>
          <w:lang w:val="en-US" w:eastAsia="zh-CN"/>
        </w:rPr>
        <w:t xml:space="preserve">   </w:t>
      </w:r>
    </w:p>
    <w:sectPr w:rsidR="00A73D0C" w:rsidRPr="00A73D0C" w:rsidSect="00763EBC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488D" w14:textId="77777777" w:rsidR="008A0921" w:rsidRDefault="008A0921" w:rsidP="00DB73C1">
      <w:pPr>
        <w:spacing w:after="0" w:line="240" w:lineRule="auto"/>
      </w:pPr>
      <w:r>
        <w:separator/>
      </w:r>
    </w:p>
  </w:endnote>
  <w:endnote w:type="continuationSeparator" w:id="0">
    <w:p w14:paraId="1DD94479" w14:textId="77777777" w:rsidR="008A0921" w:rsidRDefault="008A0921" w:rsidP="00DB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F646" w14:textId="77777777" w:rsidR="008A0921" w:rsidRDefault="008A0921" w:rsidP="00DB73C1">
      <w:pPr>
        <w:spacing w:after="0" w:line="240" w:lineRule="auto"/>
      </w:pPr>
      <w:r>
        <w:separator/>
      </w:r>
    </w:p>
  </w:footnote>
  <w:footnote w:type="continuationSeparator" w:id="0">
    <w:p w14:paraId="67A3E6D7" w14:textId="77777777" w:rsidR="008A0921" w:rsidRDefault="008A0921" w:rsidP="00DB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24F0"/>
    <w:multiLevelType w:val="hybridMultilevel"/>
    <w:tmpl w:val="A2AAEF4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4CD83DFE"/>
    <w:multiLevelType w:val="hybridMultilevel"/>
    <w:tmpl w:val="A1DE57E0"/>
    <w:lvl w:ilvl="0" w:tplc="C08C642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9" w:hanging="360"/>
      </w:pPr>
    </w:lvl>
    <w:lvl w:ilvl="2" w:tplc="0C09001B" w:tentative="1">
      <w:start w:val="1"/>
      <w:numFmt w:val="lowerRoman"/>
      <w:lvlText w:val="%3."/>
      <w:lvlJc w:val="right"/>
      <w:pPr>
        <w:ind w:left="2089" w:hanging="180"/>
      </w:pPr>
    </w:lvl>
    <w:lvl w:ilvl="3" w:tplc="0C09000F" w:tentative="1">
      <w:start w:val="1"/>
      <w:numFmt w:val="decimal"/>
      <w:lvlText w:val="%4."/>
      <w:lvlJc w:val="left"/>
      <w:pPr>
        <w:ind w:left="2809" w:hanging="360"/>
      </w:pPr>
    </w:lvl>
    <w:lvl w:ilvl="4" w:tplc="0C090019" w:tentative="1">
      <w:start w:val="1"/>
      <w:numFmt w:val="lowerLetter"/>
      <w:lvlText w:val="%5."/>
      <w:lvlJc w:val="left"/>
      <w:pPr>
        <w:ind w:left="3529" w:hanging="360"/>
      </w:pPr>
    </w:lvl>
    <w:lvl w:ilvl="5" w:tplc="0C09001B" w:tentative="1">
      <w:start w:val="1"/>
      <w:numFmt w:val="lowerRoman"/>
      <w:lvlText w:val="%6."/>
      <w:lvlJc w:val="right"/>
      <w:pPr>
        <w:ind w:left="4249" w:hanging="180"/>
      </w:pPr>
    </w:lvl>
    <w:lvl w:ilvl="6" w:tplc="0C09000F" w:tentative="1">
      <w:start w:val="1"/>
      <w:numFmt w:val="decimal"/>
      <w:lvlText w:val="%7."/>
      <w:lvlJc w:val="left"/>
      <w:pPr>
        <w:ind w:left="4969" w:hanging="360"/>
      </w:pPr>
    </w:lvl>
    <w:lvl w:ilvl="7" w:tplc="0C090019" w:tentative="1">
      <w:start w:val="1"/>
      <w:numFmt w:val="lowerLetter"/>
      <w:lvlText w:val="%8."/>
      <w:lvlJc w:val="left"/>
      <w:pPr>
        <w:ind w:left="5689" w:hanging="360"/>
      </w:pPr>
    </w:lvl>
    <w:lvl w:ilvl="8" w:tplc="0C0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DD"/>
    <w:rsid w:val="00002FE9"/>
    <w:rsid w:val="000215B4"/>
    <w:rsid w:val="0003680C"/>
    <w:rsid w:val="0007254D"/>
    <w:rsid w:val="00097704"/>
    <w:rsid w:val="000C7657"/>
    <w:rsid w:val="000E3F22"/>
    <w:rsid w:val="0010716A"/>
    <w:rsid w:val="00136D8C"/>
    <w:rsid w:val="00166FFC"/>
    <w:rsid w:val="001E5DF4"/>
    <w:rsid w:val="001F4218"/>
    <w:rsid w:val="001F4644"/>
    <w:rsid w:val="002044F6"/>
    <w:rsid w:val="002160AC"/>
    <w:rsid w:val="002176B5"/>
    <w:rsid w:val="0023619E"/>
    <w:rsid w:val="00252AD1"/>
    <w:rsid w:val="00253100"/>
    <w:rsid w:val="00260746"/>
    <w:rsid w:val="002B29C6"/>
    <w:rsid w:val="002B50A5"/>
    <w:rsid w:val="002B50BA"/>
    <w:rsid w:val="002D76F4"/>
    <w:rsid w:val="0033762C"/>
    <w:rsid w:val="003744D0"/>
    <w:rsid w:val="00393A25"/>
    <w:rsid w:val="003A6C7F"/>
    <w:rsid w:val="003F682F"/>
    <w:rsid w:val="00431220"/>
    <w:rsid w:val="00433C98"/>
    <w:rsid w:val="004D0ABE"/>
    <w:rsid w:val="004D210B"/>
    <w:rsid w:val="004D4700"/>
    <w:rsid w:val="004E51A9"/>
    <w:rsid w:val="004E6635"/>
    <w:rsid w:val="004F09C6"/>
    <w:rsid w:val="0050136E"/>
    <w:rsid w:val="00527ABC"/>
    <w:rsid w:val="00542A91"/>
    <w:rsid w:val="005A39B6"/>
    <w:rsid w:val="005C3672"/>
    <w:rsid w:val="00613D00"/>
    <w:rsid w:val="006144F8"/>
    <w:rsid w:val="00616048"/>
    <w:rsid w:val="00683074"/>
    <w:rsid w:val="006A6148"/>
    <w:rsid w:val="006B7830"/>
    <w:rsid w:val="006E02BD"/>
    <w:rsid w:val="007404DF"/>
    <w:rsid w:val="00762BB1"/>
    <w:rsid w:val="00763EBC"/>
    <w:rsid w:val="007675D4"/>
    <w:rsid w:val="00790A9E"/>
    <w:rsid w:val="007A178F"/>
    <w:rsid w:val="007A6704"/>
    <w:rsid w:val="007F517D"/>
    <w:rsid w:val="008112FB"/>
    <w:rsid w:val="008133E2"/>
    <w:rsid w:val="00823E1C"/>
    <w:rsid w:val="00831851"/>
    <w:rsid w:val="00841030"/>
    <w:rsid w:val="00865AAA"/>
    <w:rsid w:val="00890E4F"/>
    <w:rsid w:val="008A0921"/>
    <w:rsid w:val="008D1DE8"/>
    <w:rsid w:val="008E0C84"/>
    <w:rsid w:val="008E2D32"/>
    <w:rsid w:val="00904F01"/>
    <w:rsid w:val="00916905"/>
    <w:rsid w:val="00967A60"/>
    <w:rsid w:val="009A5A5A"/>
    <w:rsid w:val="009E6598"/>
    <w:rsid w:val="00A01A96"/>
    <w:rsid w:val="00A569F2"/>
    <w:rsid w:val="00A607A6"/>
    <w:rsid w:val="00A73D0C"/>
    <w:rsid w:val="00AB3FA7"/>
    <w:rsid w:val="00AE4FCD"/>
    <w:rsid w:val="00AF6695"/>
    <w:rsid w:val="00B11E7B"/>
    <w:rsid w:val="00B65E37"/>
    <w:rsid w:val="00B67059"/>
    <w:rsid w:val="00B7069C"/>
    <w:rsid w:val="00B71DB6"/>
    <w:rsid w:val="00BB0FDD"/>
    <w:rsid w:val="00BC0248"/>
    <w:rsid w:val="00BE33CC"/>
    <w:rsid w:val="00C041AE"/>
    <w:rsid w:val="00C4031E"/>
    <w:rsid w:val="00C51B6F"/>
    <w:rsid w:val="00C70014"/>
    <w:rsid w:val="00CE4D81"/>
    <w:rsid w:val="00D0763A"/>
    <w:rsid w:val="00D100FB"/>
    <w:rsid w:val="00D25E7E"/>
    <w:rsid w:val="00D80908"/>
    <w:rsid w:val="00DA145F"/>
    <w:rsid w:val="00DB73C1"/>
    <w:rsid w:val="00DE3A06"/>
    <w:rsid w:val="00DE6E6F"/>
    <w:rsid w:val="00DF43D1"/>
    <w:rsid w:val="00E22DE0"/>
    <w:rsid w:val="00E64516"/>
    <w:rsid w:val="00E732D2"/>
    <w:rsid w:val="00E765C7"/>
    <w:rsid w:val="00EC1AE9"/>
    <w:rsid w:val="00EC7D80"/>
    <w:rsid w:val="00EF7A54"/>
    <w:rsid w:val="00EF7E49"/>
    <w:rsid w:val="00F31CBA"/>
    <w:rsid w:val="00F359A6"/>
    <w:rsid w:val="00F379CD"/>
    <w:rsid w:val="00F47267"/>
    <w:rsid w:val="00F5740F"/>
    <w:rsid w:val="00F9605E"/>
    <w:rsid w:val="00FE38A9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9E2F"/>
  <w15:docId w15:val="{A7DBCD62-A5D2-422E-A294-6944896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DD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0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763E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E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D4"/>
    <w:rPr>
      <w:rFonts w:ascii="Segoe UI" w:eastAsia="Calibr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4E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wsqld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566D-734C-4747-AFEE-59F7C81B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edwards</dc:creator>
  <cp:lastModifiedBy>Geoff Holbeck</cp:lastModifiedBy>
  <cp:revision>2</cp:revision>
  <cp:lastPrinted>2021-04-01T00:34:00Z</cp:lastPrinted>
  <dcterms:created xsi:type="dcterms:W3CDTF">2022-04-01T00:38:00Z</dcterms:created>
  <dcterms:modified xsi:type="dcterms:W3CDTF">2022-04-01T00:38:00Z</dcterms:modified>
</cp:coreProperties>
</file>